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4F" w:rsidRDefault="00A7534F">
      <w:bookmarkStart w:id="0" w:name="_GoBack"/>
      <w:bookmarkEnd w:id="0"/>
    </w:p>
    <w:p w:rsidR="0017296C" w:rsidRDefault="0017296C">
      <w:r>
        <w:t>The first summit of the Hillsborough/Polk Freight Logistics Zone (FLZ) Strategic Plan development was held on February 19, 2016. The purpose of the summit was to review the FLZ background, including the permitting State legislation and the purpose of designating a FLZ(s) in the two-county region</w:t>
      </w:r>
      <w:r w:rsidR="00A7534F">
        <w:t xml:space="preserve"> and to hold an open forum for stakeholders to discuss the data and candidate areas for FLZ designation</w:t>
      </w:r>
      <w:r>
        <w:t>. A summary of relevant data and efforts at the local and state level</w:t>
      </w:r>
      <w:r w:rsidR="00A7534F">
        <w:t xml:space="preserve"> was presented</w:t>
      </w:r>
      <w:r>
        <w:t>, including FDOT D1 and D7 freight planning efforts, FDOT Central Office efforts, economic development incentives, and local training capabilities for freight related employment</w:t>
      </w:r>
      <w:r w:rsidR="00A7534F">
        <w:t>. A map of preliminary FLZ areas of interest, based on the collected data, was presented to the group and participants were asked to provide comments and insight regarding several key questions, as described below:</w:t>
      </w:r>
    </w:p>
    <w:p w:rsidR="00A7534F" w:rsidRDefault="00A7534F" w:rsidP="00A7534F">
      <w:pPr>
        <w:numPr>
          <w:ilvl w:val="1"/>
          <w:numId w:val="3"/>
        </w:numPr>
        <w:tabs>
          <w:tab w:val="clear" w:pos="1440"/>
          <w:tab w:val="num" w:pos="1080"/>
        </w:tabs>
        <w:spacing w:after="0"/>
        <w:ind w:left="720"/>
      </w:pPr>
      <w:r>
        <w:t>Comments on preliminary FLZ areas of interest</w:t>
      </w:r>
    </w:p>
    <w:p w:rsidR="009913E1" w:rsidRPr="00A7534F" w:rsidRDefault="0070733F" w:rsidP="00A7534F">
      <w:pPr>
        <w:numPr>
          <w:ilvl w:val="1"/>
          <w:numId w:val="3"/>
        </w:numPr>
        <w:tabs>
          <w:tab w:val="clear" w:pos="1440"/>
          <w:tab w:val="num" w:pos="1080"/>
        </w:tabs>
        <w:spacing w:after="0"/>
        <w:ind w:left="720"/>
      </w:pPr>
      <w:r w:rsidRPr="00A7534F">
        <w:t>What are we missing</w:t>
      </w:r>
      <w:r w:rsidR="00A7534F">
        <w:t xml:space="preserve"> (data)</w:t>
      </w:r>
      <w:r w:rsidRPr="00A7534F">
        <w:t>?</w:t>
      </w:r>
    </w:p>
    <w:p w:rsidR="009913E1" w:rsidRPr="00A7534F" w:rsidRDefault="0070733F" w:rsidP="00A7534F">
      <w:pPr>
        <w:numPr>
          <w:ilvl w:val="1"/>
          <w:numId w:val="3"/>
        </w:numPr>
        <w:tabs>
          <w:tab w:val="clear" w:pos="1440"/>
          <w:tab w:val="num" w:pos="1080"/>
        </w:tabs>
        <w:spacing w:after="0"/>
        <w:ind w:left="720"/>
      </w:pPr>
      <w:r w:rsidRPr="00A7534F">
        <w:t>What distinguishes our 2-county area from the rest of the state?</w:t>
      </w:r>
    </w:p>
    <w:p w:rsidR="009913E1" w:rsidRPr="00A7534F" w:rsidRDefault="0070733F" w:rsidP="00A7534F">
      <w:pPr>
        <w:numPr>
          <w:ilvl w:val="1"/>
          <w:numId w:val="3"/>
        </w:numPr>
        <w:tabs>
          <w:tab w:val="clear" w:pos="1440"/>
          <w:tab w:val="num" w:pos="1080"/>
        </w:tabs>
        <w:spacing w:after="0"/>
        <w:ind w:left="720"/>
      </w:pPr>
      <w:r w:rsidRPr="00A7534F">
        <w:t>What are our area’s challenges relative to the rest of the state?</w:t>
      </w:r>
    </w:p>
    <w:p w:rsidR="00A7534F" w:rsidRDefault="00A7534F" w:rsidP="00A7534F">
      <w:pPr>
        <w:spacing w:after="0"/>
      </w:pPr>
    </w:p>
    <w:p w:rsidR="00A7534F" w:rsidRDefault="00A7534F">
      <w:r>
        <w:t>Comments that were received in the open discussion, as well as those submitted on a comment form are summarized below.</w:t>
      </w:r>
    </w:p>
    <w:p w:rsidR="00A7534F" w:rsidRDefault="00A7534F" w:rsidP="00A7534F">
      <w:pPr>
        <w:spacing w:after="0"/>
      </w:pPr>
    </w:p>
    <w:p w:rsidR="0017296C" w:rsidRDefault="0017296C" w:rsidP="0017296C">
      <w:r w:rsidRPr="38EB2A5C">
        <w:rPr>
          <w:u w:val="single"/>
        </w:rPr>
        <w:t>Considerations for Areas of Interest</w:t>
      </w:r>
    </w:p>
    <w:p w:rsidR="0017296C" w:rsidRDefault="0017296C" w:rsidP="0017296C">
      <w:pPr>
        <w:pStyle w:val="ListParagraph"/>
        <w:numPr>
          <w:ilvl w:val="0"/>
          <w:numId w:val="2"/>
        </w:numPr>
        <w:rPr>
          <w:rFonts w:eastAsiaTheme="minorEastAsia"/>
        </w:rPr>
      </w:pPr>
      <w:r>
        <w:t>Saddle Creek in Polk Co./warehouse on north side of Old Dixie</w:t>
      </w:r>
    </w:p>
    <w:p w:rsidR="0017296C" w:rsidRDefault="0017296C" w:rsidP="0017296C">
      <w:pPr>
        <w:pStyle w:val="ListParagraph"/>
        <w:numPr>
          <w:ilvl w:val="0"/>
          <w:numId w:val="2"/>
        </w:numPr>
        <w:rPr>
          <w:rFonts w:eastAsiaTheme="minorEastAsia"/>
        </w:rPr>
      </w:pPr>
      <w:r>
        <w:t>Future industrial land uses in FLUP</w:t>
      </w:r>
    </w:p>
    <w:p w:rsidR="0017296C" w:rsidRDefault="0017296C" w:rsidP="0017296C">
      <w:pPr>
        <w:pStyle w:val="ListParagraph"/>
        <w:numPr>
          <w:ilvl w:val="0"/>
          <w:numId w:val="2"/>
        </w:numPr>
        <w:rPr>
          <w:rFonts w:eastAsiaTheme="minorEastAsia"/>
        </w:rPr>
      </w:pPr>
      <w:r>
        <w:t>Freight rail destination</w:t>
      </w:r>
      <w:r w:rsidR="00B76029">
        <w:t>s</w:t>
      </w:r>
    </w:p>
    <w:p w:rsidR="0017296C" w:rsidRDefault="0017296C" w:rsidP="0017296C">
      <w:pPr>
        <w:pStyle w:val="ListParagraph"/>
        <w:numPr>
          <w:ilvl w:val="0"/>
          <w:numId w:val="2"/>
        </w:numPr>
        <w:rPr>
          <w:rFonts w:eastAsiaTheme="minorEastAsia"/>
        </w:rPr>
      </w:pPr>
      <w:r>
        <w:t>Distribution center at Memorial and Wabash in Polk County</w:t>
      </w:r>
    </w:p>
    <w:p w:rsidR="0017296C" w:rsidRDefault="0017296C" w:rsidP="0017296C">
      <w:pPr>
        <w:pStyle w:val="ListParagraph"/>
        <w:numPr>
          <w:ilvl w:val="0"/>
          <w:numId w:val="2"/>
        </w:numPr>
        <w:rPr>
          <w:rFonts w:eastAsiaTheme="minorEastAsia"/>
        </w:rPr>
      </w:pPr>
      <w:r>
        <w:t>"Smooth" areas to encompass larger clusters of industrial development</w:t>
      </w:r>
    </w:p>
    <w:p w:rsidR="0017296C" w:rsidRDefault="0017296C" w:rsidP="0017296C">
      <w:pPr>
        <w:pStyle w:val="ListParagraph"/>
        <w:numPr>
          <w:ilvl w:val="0"/>
          <w:numId w:val="2"/>
        </w:numPr>
        <w:rPr>
          <w:rFonts w:eastAsiaTheme="minorEastAsia"/>
        </w:rPr>
      </w:pPr>
      <w:r>
        <w:t>Industrial land uses on west side of County Line Rd south of US 92</w:t>
      </w:r>
    </w:p>
    <w:p w:rsidR="0017296C" w:rsidRDefault="0017296C" w:rsidP="0017296C">
      <w:pPr>
        <w:pStyle w:val="ListParagraph"/>
        <w:numPr>
          <w:ilvl w:val="0"/>
          <w:numId w:val="2"/>
        </w:numPr>
        <w:rPr>
          <w:rFonts w:eastAsiaTheme="minorEastAsia"/>
        </w:rPr>
      </w:pPr>
      <w:r>
        <w:t>Winter Haven Municipal Airport</w:t>
      </w:r>
    </w:p>
    <w:p w:rsidR="0017296C" w:rsidRDefault="0017296C" w:rsidP="0017296C">
      <w:pPr>
        <w:pStyle w:val="ListParagraph"/>
        <w:numPr>
          <w:ilvl w:val="0"/>
          <w:numId w:val="2"/>
        </w:numPr>
        <w:rPr>
          <w:rFonts w:eastAsiaTheme="minorEastAsia"/>
        </w:rPr>
      </w:pPr>
      <w:r>
        <w:t>Lake Wales Municipal Airport</w:t>
      </w:r>
    </w:p>
    <w:p w:rsidR="0017296C" w:rsidRDefault="0017296C" w:rsidP="0017296C">
      <w:pPr>
        <w:pStyle w:val="ListParagraph"/>
        <w:numPr>
          <w:ilvl w:val="0"/>
          <w:numId w:val="2"/>
        </w:numPr>
        <w:rPr>
          <w:rFonts w:eastAsiaTheme="minorEastAsia"/>
        </w:rPr>
      </w:pPr>
      <w:r>
        <w:t>Mosaic fertilizer plant</w:t>
      </w:r>
    </w:p>
    <w:p w:rsidR="0017296C" w:rsidRDefault="0017296C" w:rsidP="0017296C">
      <w:pPr>
        <w:pStyle w:val="ListParagraph"/>
        <w:numPr>
          <w:ilvl w:val="0"/>
          <w:numId w:val="2"/>
        </w:numPr>
        <w:rPr>
          <w:rFonts w:eastAsiaTheme="minorEastAsia"/>
        </w:rPr>
      </w:pPr>
      <w:r>
        <w:t>Add Stokes PUD to ILC FAC</w:t>
      </w:r>
    </w:p>
    <w:p w:rsidR="0017296C" w:rsidRDefault="0017296C" w:rsidP="0017296C">
      <w:pPr>
        <w:pStyle w:val="ListParagraph"/>
        <w:numPr>
          <w:ilvl w:val="0"/>
          <w:numId w:val="2"/>
        </w:numPr>
        <w:rPr>
          <w:rFonts w:eastAsiaTheme="minorEastAsia"/>
        </w:rPr>
      </w:pPr>
      <w:r>
        <w:t xml:space="preserve">Amazon distribution center in Hillsborough Co. – NOPC to add 1.2m </w:t>
      </w:r>
      <w:proofErr w:type="spellStart"/>
      <w:r>
        <w:t>sqft</w:t>
      </w:r>
      <w:proofErr w:type="spellEnd"/>
      <w:r>
        <w:t xml:space="preserve"> of industrial development, I-75/SR 674 ramp improvements are a high priority for the County</w:t>
      </w:r>
    </w:p>
    <w:p w:rsidR="0017296C" w:rsidRDefault="0017296C" w:rsidP="0017296C">
      <w:pPr>
        <w:pStyle w:val="ListParagraph"/>
        <w:numPr>
          <w:ilvl w:val="0"/>
          <w:numId w:val="2"/>
        </w:numPr>
        <w:rPr>
          <w:rFonts w:eastAsiaTheme="minorEastAsia"/>
        </w:rPr>
      </w:pPr>
      <w:r>
        <w:t>Packing houses in US 27 corridor (Hunt Brothers Citrus, FL Natural Growers, Haines City Citrus</w:t>
      </w:r>
    </w:p>
    <w:p w:rsidR="0017296C" w:rsidRDefault="0017296C" w:rsidP="0017296C">
      <w:pPr>
        <w:pStyle w:val="ListParagraph"/>
        <w:numPr>
          <w:ilvl w:val="0"/>
          <w:numId w:val="2"/>
        </w:numPr>
        <w:rPr>
          <w:rFonts w:eastAsiaTheme="minorEastAsia"/>
        </w:rPr>
      </w:pPr>
      <w:r>
        <w:t>Industrial land use at I-4 and N Wheeler St</w:t>
      </w:r>
    </w:p>
    <w:p w:rsidR="0017296C" w:rsidRDefault="0017296C" w:rsidP="0017296C">
      <w:pPr>
        <w:pStyle w:val="ListParagraph"/>
        <w:numPr>
          <w:ilvl w:val="0"/>
          <w:numId w:val="2"/>
        </w:numPr>
        <w:rPr>
          <w:rFonts w:eastAsiaTheme="minorEastAsia"/>
        </w:rPr>
      </w:pPr>
      <w:r>
        <w:t>Industrial uses in Davenport along US 92 (</w:t>
      </w:r>
      <w:proofErr w:type="spellStart"/>
      <w:r>
        <w:t>Greenbay</w:t>
      </w:r>
      <w:proofErr w:type="spellEnd"/>
      <w:r>
        <w:t>)</w:t>
      </w:r>
    </w:p>
    <w:p w:rsidR="0017296C" w:rsidRDefault="0017296C" w:rsidP="0017296C">
      <w:pPr>
        <w:pStyle w:val="ListParagraph"/>
        <w:numPr>
          <w:ilvl w:val="0"/>
          <w:numId w:val="2"/>
        </w:numPr>
        <w:rPr>
          <w:rFonts w:eastAsiaTheme="minorEastAsia"/>
        </w:rPr>
      </w:pPr>
      <w:r>
        <w:t>Plant City Industrial/I-4</w:t>
      </w:r>
    </w:p>
    <w:p w:rsidR="0017296C" w:rsidRDefault="0017296C" w:rsidP="0017296C">
      <w:pPr>
        <w:pStyle w:val="ListParagraph"/>
        <w:numPr>
          <w:ilvl w:val="0"/>
          <w:numId w:val="2"/>
        </w:numPr>
        <w:rPr>
          <w:rFonts w:eastAsiaTheme="minorEastAsia"/>
        </w:rPr>
      </w:pPr>
      <w:r>
        <w:t>Consider that the majority of rail spurs are inactive</w:t>
      </w:r>
    </w:p>
    <w:p w:rsidR="00A7534F" w:rsidRDefault="00A7534F" w:rsidP="0017296C">
      <w:pPr>
        <w:rPr>
          <w:u w:val="single"/>
        </w:rPr>
      </w:pPr>
    </w:p>
    <w:p w:rsidR="0017296C" w:rsidRDefault="0017296C" w:rsidP="0017296C">
      <w:r w:rsidRPr="38EB2A5C">
        <w:rPr>
          <w:u w:val="single"/>
        </w:rPr>
        <w:lastRenderedPageBreak/>
        <w:t>Considerations for FLZ Strategic Plan</w:t>
      </w:r>
    </w:p>
    <w:p w:rsidR="0017296C" w:rsidRDefault="0017296C" w:rsidP="0017296C">
      <w:pPr>
        <w:pStyle w:val="ListParagraph"/>
        <w:numPr>
          <w:ilvl w:val="0"/>
          <w:numId w:val="2"/>
        </w:numPr>
        <w:rPr>
          <w:rFonts w:eastAsiaTheme="minorEastAsia"/>
        </w:rPr>
      </w:pPr>
      <w:r>
        <w:t>Display available truck and rail volume in bandwidth</w:t>
      </w:r>
    </w:p>
    <w:p w:rsidR="0017296C" w:rsidRDefault="0017296C" w:rsidP="0017296C">
      <w:pPr>
        <w:pStyle w:val="ListParagraph"/>
        <w:numPr>
          <w:ilvl w:val="0"/>
          <w:numId w:val="2"/>
        </w:numPr>
        <w:rPr>
          <w:rFonts w:eastAsiaTheme="minorEastAsia"/>
        </w:rPr>
      </w:pPr>
      <w:r>
        <w:t>Proximity of workforce</w:t>
      </w:r>
    </w:p>
    <w:p w:rsidR="0017296C" w:rsidRDefault="0017296C" w:rsidP="0017296C">
      <w:pPr>
        <w:pStyle w:val="ListParagraph"/>
        <w:numPr>
          <w:ilvl w:val="0"/>
          <w:numId w:val="2"/>
        </w:numPr>
        <w:rPr>
          <w:rFonts w:eastAsiaTheme="minorEastAsia"/>
        </w:rPr>
      </w:pPr>
      <w:r>
        <w:t>Impact of industry</w:t>
      </w:r>
    </w:p>
    <w:p w:rsidR="0017296C" w:rsidRDefault="0017296C" w:rsidP="0017296C">
      <w:pPr>
        <w:pStyle w:val="ListParagraph"/>
        <w:numPr>
          <w:ilvl w:val="0"/>
          <w:numId w:val="2"/>
        </w:numPr>
        <w:rPr>
          <w:rFonts w:eastAsiaTheme="minorEastAsia"/>
        </w:rPr>
      </w:pPr>
      <w:r>
        <w:t>Differentiate existing and future/emerging FACs</w:t>
      </w:r>
    </w:p>
    <w:p w:rsidR="0017296C" w:rsidRDefault="0017296C" w:rsidP="0017296C">
      <w:pPr>
        <w:pStyle w:val="ListParagraph"/>
        <w:numPr>
          <w:ilvl w:val="0"/>
          <w:numId w:val="2"/>
        </w:numPr>
        <w:rPr>
          <w:rFonts w:eastAsiaTheme="minorEastAsia"/>
        </w:rPr>
      </w:pPr>
      <w:r>
        <w:t>Growth potential around corridors impacting transportation</w:t>
      </w:r>
    </w:p>
    <w:p w:rsidR="0017296C" w:rsidRDefault="0017296C" w:rsidP="0017296C">
      <w:pPr>
        <w:pStyle w:val="ListParagraph"/>
        <w:numPr>
          <w:ilvl w:val="0"/>
          <w:numId w:val="2"/>
        </w:numPr>
        <w:rPr>
          <w:rFonts w:eastAsiaTheme="minorEastAsia"/>
        </w:rPr>
      </w:pPr>
      <w:r>
        <w:t>Freight/land use compatibility should inform plan</w:t>
      </w:r>
    </w:p>
    <w:p w:rsidR="0017296C" w:rsidRDefault="0017296C" w:rsidP="0017296C">
      <w:pPr>
        <w:pStyle w:val="ListParagraph"/>
        <w:numPr>
          <w:ilvl w:val="0"/>
          <w:numId w:val="2"/>
        </w:numPr>
        <w:rPr>
          <w:rFonts w:eastAsiaTheme="minorEastAsia"/>
        </w:rPr>
      </w:pPr>
      <w:r>
        <w:t>Phase 2 of Bartow Northern Connector US 17 to SR 60 is #1 priority for Polk County</w:t>
      </w:r>
    </w:p>
    <w:p w:rsidR="0017296C" w:rsidRDefault="0017296C" w:rsidP="0017296C">
      <w:pPr>
        <w:pStyle w:val="ListParagraph"/>
        <w:numPr>
          <w:ilvl w:val="0"/>
          <w:numId w:val="2"/>
        </w:numPr>
        <w:rPr>
          <w:rFonts w:eastAsiaTheme="minorEastAsia"/>
        </w:rPr>
      </w:pPr>
      <w:r>
        <w:t>Analysis of homesteaded lots, age of housing stock, employees w/in 1 mile of freight clusters, household income, age, at block, block group, or TAZ level</w:t>
      </w:r>
    </w:p>
    <w:p w:rsidR="0017296C" w:rsidRDefault="0017296C" w:rsidP="0017296C">
      <w:pPr>
        <w:pStyle w:val="ListParagraph"/>
        <w:numPr>
          <w:ilvl w:val="0"/>
          <w:numId w:val="2"/>
        </w:numPr>
        <w:rPr>
          <w:rFonts w:eastAsiaTheme="minorEastAsia"/>
        </w:rPr>
      </w:pPr>
      <w:r>
        <w:t>Important to properly document activities around ILC (trips, employment, etc.) since ILC serves as the focal point of a FLZ</w:t>
      </w:r>
    </w:p>
    <w:p w:rsidR="0017296C" w:rsidRDefault="0017296C" w:rsidP="0017296C">
      <w:pPr>
        <w:pStyle w:val="ListParagraph"/>
        <w:numPr>
          <w:ilvl w:val="0"/>
          <w:numId w:val="2"/>
        </w:numPr>
        <w:rPr>
          <w:rFonts w:eastAsiaTheme="minorEastAsia"/>
        </w:rPr>
      </w:pPr>
      <w:r>
        <w:t>Include State Economic Enhancement and Development Trust Fund (288.1201(1)(a) FS Part 1) and Export Finance Corp (288.773 FS Part 5) in state funding and incentive programs</w:t>
      </w:r>
    </w:p>
    <w:p w:rsidR="0017296C" w:rsidRDefault="0017296C" w:rsidP="0017296C">
      <w:r w:rsidRPr="23E25802">
        <w:rPr>
          <w:u w:val="single"/>
        </w:rPr>
        <w:t>Area Distinguishers</w:t>
      </w:r>
    </w:p>
    <w:p w:rsidR="0017296C" w:rsidRDefault="0017296C" w:rsidP="0017296C">
      <w:pPr>
        <w:pStyle w:val="ListParagraph"/>
        <w:numPr>
          <w:ilvl w:val="0"/>
          <w:numId w:val="1"/>
        </w:numPr>
        <w:rPr>
          <w:rFonts w:eastAsiaTheme="minorEastAsia"/>
        </w:rPr>
      </w:pPr>
      <w:r>
        <w:t>Winter Haven Intermodal Logistics Center</w:t>
      </w:r>
    </w:p>
    <w:p w:rsidR="0017296C" w:rsidRDefault="0017296C" w:rsidP="0017296C">
      <w:pPr>
        <w:pStyle w:val="ListParagraph"/>
        <w:numPr>
          <w:ilvl w:val="0"/>
          <w:numId w:val="1"/>
        </w:numPr>
        <w:rPr>
          <w:rFonts w:eastAsiaTheme="minorEastAsia"/>
        </w:rPr>
      </w:pPr>
      <w:r>
        <w:t>Extractive industries</w:t>
      </w:r>
    </w:p>
    <w:p w:rsidR="0017296C" w:rsidRDefault="0017296C" w:rsidP="0017296C">
      <w:pPr>
        <w:pStyle w:val="ListParagraph"/>
        <w:numPr>
          <w:ilvl w:val="0"/>
          <w:numId w:val="1"/>
        </w:numPr>
        <w:rPr>
          <w:rFonts w:eastAsiaTheme="minorEastAsia"/>
        </w:rPr>
      </w:pPr>
      <w:r>
        <w:t>Regional synergy between Polk and Hillsborough counties</w:t>
      </w:r>
    </w:p>
    <w:p w:rsidR="0017296C" w:rsidRDefault="0017296C" w:rsidP="0017296C">
      <w:pPr>
        <w:pStyle w:val="ListParagraph"/>
        <w:numPr>
          <w:ilvl w:val="0"/>
          <w:numId w:val="1"/>
        </w:numPr>
        <w:rPr>
          <w:rFonts w:eastAsiaTheme="minorEastAsia"/>
        </w:rPr>
      </w:pPr>
      <w:r>
        <w:t>Emerging area poised for big-time growth</w:t>
      </w:r>
    </w:p>
    <w:p w:rsidR="0017296C" w:rsidRDefault="0017296C" w:rsidP="0017296C">
      <w:r w:rsidRPr="23E25802">
        <w:rPr>
          <w:u w:val="single"/>
        </w:rPr>
        <w:t>Area Challenges</w:t>
      </w:r>
    </w:p>
    <w:p w:rsidR="0017296C" w:rsidRDefault="0017296C" w:rsidP="0017296C">
      <w:pPr>
        <w:pStyle w:val="ListParagraph"/>
        <w:numPr>
          <w:ilvl w:val="0"/>
          <w:numId w:val="1"/>
        </w:numPr>
        <w:rPr>
          <w:rFonts w:eastAsiaTheme="minorEastAsia"/>
        </w:rPr>
      </w:pPr>
      <w:r>
        <w:t>Infrastructure/access management</w:t>
      </w:r>
    </w:p>
    <w:p w:rsidR="0017296C" w:rsidRDefault="0017296C" w:rsidP="0017296C">
      <w:pPr>
        <w:pStyle w:val="ListParagraph"/>
        <w:numPr>
          <w:ilvl w:val="0"/>
          <w:numId w:val="1"/>
        </w:numPr>
        <w:rPr>
          <w:rFonts w:eastAsiaTheme="minorEastAsia"/>
        </w:rPr>
      </w:pPr>
      <w:r>
        <w:t>Project priorities and competition with other areas for funding</w:t>
      </w:r>
    </w:p>
    <w:p w:rsidR="0017296C" w:rsidRDefault="0017296C" w:rsidP="0017296C">
      <w:r w:rsidRPr="23E25802">
        <w:rPr>
          <w:u w:val="single"/>
        </w:rPr>
        <w:t>Considerations for FLZ Strategic Plan Process</w:t>
      </w:r>
    </w:p>
    <w:p w:rsidR="0017296C" w:rsidRDefault="0017296C" w:rsidP="00945EF5">
      <w:pPr>
        <w:pStyle w:val="ListParagraph"/>
        <w:numPr>
          <w:ilvl w:val="0"/>
          <w:numId w:val="2"/>
        </w:numPr>
      </w:pPr>
      <w:r>
        <w:t>Adopt by resolution, state in resolution that the plan will be updated biennially</w:t>
      </w:r>
    </w:p>
    <w:sectPr w:rsidR="0017296C" w:rsidSect="00D37232">
      <w:headerReference w:type="default" r:id="rId10"/>
      <w:footerReference w:type="default" r:id="rId11"/>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B08" w:rsidRDefault="00A30B08" w:rsidP="00A30B08">
      <w:pPr>
        <w:spacing w:after="0" w:line="240" w:lineRule="auto"/>
      </w:pPr>
      <w:r>
        <w:separator/>
      </w:r>
    </w:p>
  </w:endnote>
  <w:endnote w:type="continuationSeparator" w:id="0">
    <w:p w:rsidR="00A30B08" w:rsidRDefault="00A30B08" w:rsidP="00A3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78" w:rsidRDefault="002A7D78">
    <w:pPr>
      <w:pStyle w:val="Footer"/>
    </w:pPr>
    <w:r>
      <w:rPr>
        <w:noProof/>
      </w:rPr>
      <w:drawing>
        <wp:anchor distT="0" distB="0" distL="114300" distR="114300" simplePos="0" relativeHeight="251665920" behindDoc="1" locked="0" layoutInCell="1" allowOverlap="1" wp14:editId="7861BA02">
          <wp:simplePos x="0" y="0"/>
          <wp:positionH relativeFrom="margin">
            <wp:posOffset>2343150</wp:posOffset>
          </wp:positionH>
          <wp:positionV relativeFrom="margin">
            <wp:posOffset>7562215</wp:posOffset>
          </wp:positionV>
          <wp:extent cx="38100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z FOOTER.jpg"/>
                  <pic:cNvPicPr/>
                </pic:nvPicPr>
                <pic:blipFill rotWithShape="1">
                  <a:blip r:embed="rId1" cstate="print">
                    <a:extLst>
                      <a:ext uri="{28A0092B-C50C-407E-A947-70E740481C1C}">
                        <a14:useLocalDpi xmlns:a14="http://schemas.microsoft.com/office/drawing/2010/main" val="0"/>
                      </a:ext>
                    </a:extLst>
                  </a:blip>
                  <a:srcRect l="49087" r="5251" b="4348"/>
                  <a:stretch/>
                </pic:blipFill>
                <pic:spPr bwMode="auto">
                  <a:xfrm>
                    <a:off x="0" y="0"/>
                    <a:ext cx="381000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A7D78" w:rsidRDefault="002A7D78" w:rsidP="002A7D78">
    <w:pPr>
      <w:pStyle w:val="Footer"/>
      <w:tabs>
        <w:tab w:val="clear" w:pos="9360"/>
        <w:tab w:val="right" w:pos="9990"/>
      </w:tabs>
      <w:ind w:right="-630"/>
    </w:pPr>
    <w:r>
      <w:tab/>
    </w:r>
    <w:r>
      <w:tab/>
    </w:r>
    <w:r>
      <w:fldChar w:fldCharType="begin"/>
    </w:r>
    <w:r>
      <w:instrText xml:space="preserve"> PAGE   \* MERGEFORMAT </w:instrText>
    </w:r>
    <w:r>
      <w:fldChar w:fldCharType="separate"/>
    </w:r>
    <w:r w:rsidR="0014086D">
      <w:rPr>
        <w:noProof/>
      </w:rPr>
      <w:t>2</w:t>
    </w:r>
    <w:r>
      <w:rPr>
        <w:noProof/>
      </w:rPr>
      <w:fldChar w:fldCharType="end"/>
    </w:r>
  </w:p>
  <w:p w:rsidR="002A7D78" w:rsidRDefault="002A7D78">
    <w:pPr>
      <w:pStyle w:val="Footer"/>
    </w:pPr>
  </w:p>
  <w:p w:rsidR="00D37232" w:rsidRDefault="00D37232">
    <w:pPr>
      <w:pStyle w:val="Footer"/>
    </w:pPr>
  </w:p>
  <w:p w:rsidR="002A7D78" w:rsidRDefault="002A7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B08" w:rsidRDefault="00A30B08" w:rsidP="00A30B08">
      <w:pPr>
        <w:spacing w:after="0" w:line="240" w:lineRule="auto"/>
      </w:pPr>
      <w:r>
        <w:separator/>
      </w:r>
    </w:p>
  </w:footnote>
  <w:footnote w:type="continuationSeparator" w:id="0">
    <w:p w:rsidR="00A30B08" w:rsidRDefault="00A30B08" w:rsidP="00A30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34F" w:rsidRDefault="00A7534F">
    <w:pPr>
      <w:pStyle w:val="Header"/>
    </w:pPr>
  </w:p>
  <w:p w:rsidR="00A7534F" w:rsidRDefault="00A7534F" w:rsidP="00A7534F">
    <w:pPr>
      <w:pStyle w:val="Header"/>
      <w:tabs>
        <w:tab w:val="left" w:pos="6030"/>
      </w:tabs>
      <w:spacing w:before="360"/>
      <w:ind w:left="-720"/>
      <w:rPr>
        <w:rFonts w:ascii="Arial" w:hAnsi="Arial" w:cs="Arial"/>
        <w:color w:val="FFFFFF" w:themeColor="background1"/>
        <w:sz w:val="32"/>
        <w:szCs w:val="32"/>
        <w:u w:val="single"/>
      </w:rPr>
    </w:pPr>
    <w:r w:rsidRPr="00A7534F">
      <w:rPr>
        <w:rFonts w:ascii="Arial" w:hAnsi="Arial" w:cs="Arial"/>
        <w:color w:val="FFFFFF" w:themeColor="background1"/>
        <w:sz w:val="32"/>
        <w:szCs w:val="32"/>
        <w:u w:val="single"/>
      </w:rPr>
      <w:t>FREIGHT LOGISTICS ZONE</w:t>
    </w:r>
    <w:r>
      <w:rPr>
        <w:rFonts w:ascii="Arial" w:hAnsi="Arial" w:cs="Arial"/>
        <w:color w:val="FFFFFF" w:themeColor="background1"/>
        <w:sz w:val="32"/>
        <w:szCs w:val="32"/>
        <w:u w:val="single"/>
      </w:rPr>
      <w:t>S</w:t>
    </w:r>
    <w:r>
      <w:rPr>
        <w:rFonts w:ascii="Arial" w:hAnsi="Arial" w:cs="Arial"/>
        <w:color w:val="FFFFFF" w:themeColor="background1"/>
        <w:sz w:val="32"/>
        <w:szCs w:val="32"/>
        <w:u w:val="single"/>
      </w:rPr>
      <w:tab/>
    </w:r>
    <w:r>
      <w:rPr>
        <w:rFonts w:ascii="Arial" w:hAnsi="Arial" w:cs="Arial"/>
        <w:color w:val="FFFFFF" w:themeColor="background1"/>
        <w:sz w:val="32"/>
        <w:szCs w:val="32"/>
        <w:u w:val="single"/>
      </w:rPr>
      <w:tab/>
      <w:t xml:space="preserve"> </w:t>
    </w:r>
  </w:p>
  <w:p w:rsidR="00681D30" w:rsidRPr="00A7534F" w:rsidRDefault="00A7534F" w:rsidP="00A7534F">
    <w:pPr>
      <w:pStyle w:val="Header"/>
      <w:tabs>
        <w:tab w:val="clear" w:pos="9360"/>
        <w:tab w:val="right" w:pos="6030"/>
      </w:tabs>
      <w:ind w:left="-720" w:right="3330"/>
      <w:jc w:val="right"/>
      <w:rPr>
        <w:rFonts w:ascii="Arial" w:hAnsi="Arial" w:cs="Arial"/>
        <w:color w:val="FFFFFF" w:themeColor="background1"/>
        <w:sz w:val="24"/>
        <w:szCs w:val="24"/>
      </w:rPr>
    </w:pPr>
    <w:r w:rsidRPr="00A7534F">
      <w:rPr>
        <w:rFonts w:ascii="Arial" w:hAnsi="Arial" w:cs="Arial"/>
        <w:color w:val="FFFFFF" w:themeColor="background1"/>
        <w:sz w:val="24"/>
        <w:szCs w:val="24"/>
      </w:rPr>
      <w:t xml:space="preserve">SUMMIT 1 MEETING NOTES               </w:t>
    </w:r>
  </w:p>
  <w:p w:rsidR="00A7534F" w:rsidRPr="00A7534F" w:rsidRDefault="00A7534F">
    <w:pPr>
      <w:pStyle w:val="Header"/>
      <w:rPr>
        <w:rFonts w:ascii="Arial" w:hAnsi="Arial" w:cs="Arial"/>
        <w:color w:val="FFFFFF" w:themeColor="background1"/>
        <w:sz w:val="32"/>
        <w:szCs w:val="32"/>
      </w:rPr>
    </w:pPr>
  </w:p>
  <w:p w:rsidR="00681D30" w:rsidRDefault="00681D30">
    <w:pPr>
      <w:pStyle w:val="Header"/>
    </w:pPr>
  </w:p>
  <w:p w:rsidR="00681D30" w:rsidRDefault="00681D30">
    <w:pPr>
      <w:pStyle w:val="Header"/>
    </w:pPr>
  </w:p>
  <w:p w:rsidR="00A30B08" w:rsidRDefault="00A30B08">
    <w:pPr>
      <w:pStyle w:val="Header"/>
    </w:pPr>
    <w:r>
      <w:rPr>
        <w:noProof/>
      </w:rPr>
      <w:drawing>
        <wp:anchor distT="0" distB="0" distL="114300" distR="114300" simplePos="0" relativeHeight="251658240" behindDoc="1" locked="0" layoutInCell="1" allowOverlap="1">
          <wp:simplePos x="0" y="0"/>
          <wp:positionH relativeFrom="margin">
            <wp:posOffset>-1057275</wp:posOffset>
          </wp:positionH>
          <wp:positionV relativeFrom="page">
            <wp:align>top</wp:align>
          </wp:positionV>
          <wp:extent cx="7918916" cy="1527099"/>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z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916" cy="15270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361C"/>
    <w:multiLevelType w:val="hybridMultilevel"/>
    <w:tmpl w:val="3F7E2798"/>
    <w:lvl w:ilvl="0" w:tplc="3B688E36">
      <w:start w:val="1"/>
      <w:numFmt w:val="bullet"/>
      <w:lvlText w:val=""/>
      <w:lvlJc w:val="left"/>
      <w:pPr>
        <w:ind w:left="720" w:hanging="360"/>
      </w:pPr>
      <w:rPr>
        <w:rFonts w:ascii="Symbol" w:hAnsi="Symbol" w:hint="default"/>
      </w:rPr>
    </w:lvl>
    <w:lvl w:ilvl="1" w:tplc="442013F0">
      <w:start w:val="1"/>
      <w:numFmt w:val="bullet"/>
      <w:lvlText w:val="o"/>
      <w:lvlJc w:val="left"/>
      <w:pPr>
        <w:ind w:left="1440" w:hanging="360"/>
      </w:pPr>
      <w:rPr>
        <w:rFonts w:ascii="Courier New" w:hAnsi="Courier New" w:hint="default"/>
      </w:rPr>
    </w:lvl>
    <w:lvl w:ilvl="2" w:tplc="414442FA">
      <w:start w:val="1"/>
      <w:numFmt w:val="bullet"/>
      <w:lvlText w:val=""/>
      <w:lvlJc w:val="left"/>
      <w:pPr>
        <w:ind w:left="2160" w:hanging="360"/>
      </w:pPr>
      <w:rPr>
        <w:rFonts w:ascii="Wingdings" w:hAnsi="Wingdings" w:hint="default"/>
      </w:rPr>
    </w:lvl>
    <w:lvl w:ilvl="3" w:tplc="07B643A0">
      <w:start w:val="1"/>
      <w:numFmt w:val="bullet"/>
      <w:lvlText w:val=""/>
      <w:lvlJc w:val="left"/>
      <w:pPr>
        <w:ind w:left="2880" w:hanging="360"/>
      </w:pPr>
      <w:rPr>
        <w:rFonts w:ascii="Symbol" w:hAnsi="Symbol" w:hint="default"/>
      </w:rPr>
    </w:lvl>
    <w:lvl w:ilvl="4" w:tplc="9C2A8CF2">
      <w:start w:val="1"/>
      <w:numFmt w:val="bullet"/>
      <w:lvlText w:val="o"/>
      <w:lvlJc w:val="left"/>
      <w:pPr>
        <w:ind w:left="3600" w:hanging="360"/>
      </w:pPr>
      <w:rPr>
        <w:rFonts w:ascii="Courier New" w:hAnsi="Courier New" w:hint="default"/>
      </w:rPr>
    </w:lvl>
    <w:lvl w:ilvl="5" w:tplc="9C9A2D74">
      <w:start w:val="1"/>
      <w:numFmt w:val="bullet"/>
      <w:lvlText w:val=""/>
      <w:lvlJc w:val="left"/>
      <w:pPr>
        <w:ind w:left="4320" w:hanging="360"/>
      </w:pPr>
      <w:rPr>
        <w:rFonts w:ascii="Wingdings" w:hAnsi="Wingdings" w:hint="default"/>
      </w:rPr>
    </w:lvl>
    <w:lvl w:ilvl="6" w:tplc="3446B214">
      <w:start w:val="1"/>
      <w:numFmt w:val="bullet"/>
      <w:lvlText w:val=""/>
      <w:lvlJc w:val="left"/>
      <w:pPr>
        <w:ind w:left="5040" w:hanging="360"/>
      </w:pPr>
      <w:rPr>
        <w:rFonts w:ascii="Symbol" w:hAnsi="Symbol" w:hint="default"/>
      </w:rPr>
    </w:lvl>
    <w:lvl w:ilvl="7" w:tplc="5A2CB358">
      <w:start w:val="1"/>
      <w:numFmt w:val="bullet"/>
      <w:lvlText w:val="o"/>
      <w:lvlJc w:val="left"/>
      <w:pPr>
        <w:ind w:left="5760" w:hanging="360"/>
      </w:pPr>
      <w:rPr>
        <w:rFonts w:ascii="Courier New" w:hAnsi="Courier New" w:hint="default"/>
      </w:rPr>
    </w:lvl>
    <w:lvl w:ilvl="8" w:tplc="B336B6E2">
      <w:start w:val="1"/>
      <w:numFmt w:val="bullet"/>
      <w:lvlText w:val=""/>
      <w:lvlJc w:val="left"/>
      <w:pPr>
        <w:ind w:left="6480" w:hanging="360"/>
      </w:pPr>
      <w:rPr>
        <w:rFonts w:ascii="Wingdings" w:hAnsi="Wingdings" w:hint="default"/>
      </w:rPr>
    </w:lvl>
  </w:abstractNum>
  <w:abstractNum w:abstractNumId="1" w15:restartNumberingAfterBreak="0">
    <w:nsid w:val="56C62958"/>
    <w:multiLevelType w:val="hybridMultilevel"/>
    <w:tmpl w:val="AA24A2A4"/>
    <w:lvl w:ilvl="0" w:tplc="E5A0C556">
      <w:start w:val="1"/>
      <w:numFmt w:val="bullet"/>
      <w:lvlText w:val=""/>
      <w:lvlJc w:val="left"/>
      <w:pPr>
        <w:ind w:left="720" w:hanging="360"/>
      </w:pPr>
      <w:rPr>
        <w:rFonts w:ascii="Symbol" w:hAnsi="Symbol" w:hint="default"/>
      </w:rPr>
    </w:lvl>
    <w:lvl w:ilvl="1" w:tplc="EC446DB0">
      <w:start w:val="1"/>
      <w:numFmt w:val="bullet"/>
      <w:lvlText w:val="o"/>
      <w:lvlJc w:val="left"/>
      <w:pPr>
        <w:ind w:left="1440" w:hanging="360"/>
      </w:pPr>
      <w:rPr>
        <w:rFonts w:ascii="Courier New" w:hAnsi="Courier New" w:hint="default"/>
      </w:rPr>
    </w:lvl>
    <w:lvl w:ilvl="2" w:tplc="8D62546E">
      <w:start w:val="1"/>
      <w:numFmt w:val="bullet"/>
      <w:lvlText w:val=""/>
      <w:lvlJc w:val="left"/>
      <w:pPr>
        <w:ind w:left="2160" w:hanging="360"/>
      </w:pPr>
      <w:rPr>
        <w:rFonts w:ascii="Wingdings" w:hAnsi="Wingdings" w:hint="default"/>
      </w:rPr>
    </w:lvl>
    <w:lvl w:ilvl="3" w:tplc="989E8324">
      <w:start w:val="1"/>
      <w:numFmt w:val="bullet"/>
      <w:lvlText w:val=""/>
      <w:lvlJc w:val="left"/>
      <w:pPr>
        <w:ind w:left="2880" w:hanging="360"/>
      </w:pPr>
      <w:rPr>
        <w:rFonts w:ascii="Symbol" w:hAnsi="Symbol" w:hint="default"/>
      </w:rPr>
    </w:lvl>
    <w:lvl w:ilvl="4" w:tplc="603EA57E">
      <w:start w:val="1"/>
      <w:numFmt w:val="bullet"/>
      <w:lvlText w:val="o"/>
      <w:lvlJc w:val="left"/>
      <w:pPr>
        <w:ind w:left="3600" w:hanging="360"/>
      </w:pPr>
      <w:rPr>
        <w:rFonts w:ascii="Courier New" w:hAnsi="Courier New" w:hint="default"/>
      </w:rPr>
    </w:lvl>
    <w:lvl w:ilvl="5" w:tplc="5CE428EC">
      <w:start w:val="1"/>
      <w:numFmt w:val="bullet"/>
      <w:lvlText w:val=""/>
      <w:lvlJc w:val="left"/>
      <w:pPr>
        <w:ind w:left="4320" w:hanging="360"/>
      </w:pPr>
      <w:rPr>
        <w:rFonts w:ascii="Wingdings" w:hAnsi="Wingdings" w:hint="default"/>
      </w:rPr>
    </w:lvl>
    <w:lvl w:ilvl="6" w:tplc="3D929724">
      <w:start w:val="1"/>
      <w:numFmt w:val="bullet"/>
      <w:lvlText w:val=""/>
      <w:lvlJc w:val="left"/>
      <w:pPr>
        <w:ind w:left="5040" w:hanging="360"/>
      </w:pPr>
      <w:rPr>
        <w:rFonts w:ascii="Symbol" w:hAnsi="Symbol" w:hint="default"/>
      </w:rPr>
    </w:lvl>
    <w:lvl w:ilvl="7" w:tplc="B428F19A">
      <w:start w:val="1"/>
      <w:numFmt w:val="bullet"/>
      <w:lvlText w:val="o"/>
      <w:lvlJc w:val="left"/>
      <w:pPr>
        <w:ind w:left="5760" w:hanging="360"/>
      </w:pPr>
      <w:rPr>
        <w:rFonts w:ascii="Courier New" w:hAnsi="Courier New" w:hint="default"/>
      </w:rPr>
    </w:lvl>
    <w:lvl w:ilvl="8" w:tplc="26E0C03C">
      <w:start w:val="1"/>
      <w:numFmt w:val="bullet"/>
      <w:lvlText w:val=""/>
      <w:lvlJc w:val="left"/>
      <w:pPr>
        <w:ind w:left="6480" w:hanging="360"/>
      </w:pPr>
      <w:rPr>
        <w:rFonts w:ascii="Wingdings" w:hAnsi="Wingdings" w:hint="default"/>
      </w:rPr>
    </w:lvl>
  </w:abstractNum>
  <w:abstractNum w:abstractNumId="2" w15:restartNumberingAfterBreak="0">
    <w:nsid w:val="72FA2223"/>
    <w:multiLevelType w:val="hybridMultilevel"/>
    <w:tmpl w:val="A26C7DB2"/>
    <w:lvl w:ilvl="0" w:tplc="A48C05DE">
      <w:start w:val="1"/>
      <w:numFmt w:val="bullet"/>
      <w:lvlText w:val=""/>
      <w:lvlJc w:val="left"/>
      <w:pPr>
        <w:tabs>
          <w:tab w:val="num" w:pos="720"/>
        </w:tabs>
        <w:ind w:left="720" w:hanging="360"/>
      </w:pPr>
      <w:rPr>
        <w:rFonts w:ascii="Wingdings" w:hAnsi="Wingdings" w:hint="default"/>
      </w:rPr>
    </w:lvl>
    <w:lvl w:ilvl="1" w:tplc="5A7A5D7C">
      <w:start w:val="1"/>
      <w:numFmt w:val="bullet"/>
      <w:lvlText w:val=""/>
      <w:lvlJc w:val="left"/>
      <w:pPr>
        <w:tabs>
          <w:tab w:val="num" w:pos="1440"/>
        </w:tabs>
        <w:ind w:left="1440" w:hanging="360"/>
      </w:pPr>
      <w:rPr>
        <w:rFonts w:ascii="Wingdings" w:hAnsi="Wingdings" w:hint="default"/>
      </w:rPr>
    </w:lvl>
    <w:lvl w:ilvl="2" w:tplc="E85E2568" w:tentative="1">
      <w:start w:val="1"/>
      <w:numFmt w:val="bullet"/>
      <w:lvlText w:val=""/>
      <w:lvlJc w:val="left"/>
      <w:pPr>
        <w:tabs>
          <w:tab w:val="num" w:pos="2160"/>
        </w:tabs>
        <w:ind w:left="2160" w:hanging="360"/>
      </w:pPr>
      <w:rPr>
        <w:rFonts w:ascii="Wingdings" w:hAnsi="Wingdings" w:hint="default"/>
      </w:rPr>
    </w:lvl>
    <w:lvl w:ilvl="3" w:tplc="62B2DE26" w:tentative="1">
      <w:start w:val="1"/>
      <w:numFmt w:val="bullet"/>
      <w:lvlText w:val=""/>
      <w:lvlJc w:val="left"/>
      <w:pPr>
        <w:tabs>
          <w:tab w:val="num" w:pos="2880"/>
        </w:tabs>
        <w:ind w:left="2880" w:hanging="360"/>
      </w:pPr>
      <w:rPr>
        <w:rFonts w:ascii="Wingdings" w:hAnsi="Wingdings" w:hint="default"/>
      </w:rPr>
    </w:lvl>
    <w:lvl w:ilvl="4" w:tplc="09045C6C" w:tentative="1">
      <w:start w:val="1"/>
      <w:numFmt w:val="bullet"/>
      <w:lvlText w:val=""/>
      <w:lvlJc w:val="left"/>
      <w:pPr>
        <w:tabs>
          <w:tab w:val="num" w:pos="3600"/>
        </w:tabs>
        <w:ind w:left="3600" w:hanging="360"/>
      </w:pPr>
      <w:rPr>
        <w:rFonts w:ascii="Wingdings" w:hAnsi="Wingdings" w:hint="default"/>
      </w:rPr>
    </w:lvl>
    <w:lvl w:ilvl="5" w:tplc="F8A0BEFC" w:tentative="1">
      <w:start w:val="1"/>
      <w:numFmt w:val="bullet"/>
      <w:lvlText w:val=""/>
      <w:lvlJc w:val="left"/>
      <w:pPr>
        <w:tabs>
          <w:tab w:val="num" w:pos="4320"/>
        </w:tabs>
        <w:ind w:left="4320" w:hanging="360"/>
      </w:pPr>
      <w:rPr>
        <w:rFonts w:ascii="Wingdings" w:hAnsi="Wingdings" w:hint="default"/>
      </w:rPr>
    </w:lvl>
    <w:lvl w:ilvl="6" w:tplc="3BF0BB22" w:tentative="1">
      <w:start w:val="1"/>
      <w:numFmt w:val="bullet"/>
      <w:lvlText w:val=""/>
      <w:lvlJc w:val="left"/>
      <w:pPr>
        <w:tabs>
          <w:tab w:val="num" w:pos="5040"/>
        </w:tabs>
        <w:ind w:left="5040" w:hanging="360"/>
      </w:pPr>
      <w:rPr>
        <w:rFonts w:ascii="Wingdings" w:hAnsi="Wingdings" w:hint="default"/>
      </w:rPr>
    </w:lvl>
    <w:lvl w:ilvl="7" w:tplc="83804324" w:tentative="1">
      <w:start w:val="1"/>
      <w:numFmt w:val="bullet"/>
      <w:lvlText w:val=""/>
      <w:lvlJc w:val="left"/>
      <w:pPr>
        <w:tabs>
          <w:tab w:val="num" w:pos="5760"/>
        </w:tabs>
        <w:ind w:left="5760" w:hanging="360"/>
      </w:pPr>
      <w:rPr>
        <w:rFonts w:ascii="Wingdings" w:hAnsi="Wingdings" w:hint="default"/>
      </w:rPr>
    </w:lvl>
    <w:lvl w:ilvl="8" w:tplc="3D52EAB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08"/>
    <w:rsid w:val="0014086D"/>
    <w:rsid w:val="0017296C"/>
    <w:rsid w:val="002A7D78"/>
    <w:rsid w:val="004A3FC2"/>
    <w:rsid w:val="00681D30"/>
    <w:rsid w:val="0070733F"/>
    <w:rsid w:val="009913E1"/>
    <w:rsid w:val="00A30B08"/>
    <w:rsid w:val="00A72ED3"/>
    <w:rsid w:val="00A7534F"/>
    <w:rsid w:val="00B76029"/>
    <w:rsid w:val="00D3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1D02158-3820-49CA-BC71-039FD823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B08"/>
  </w:style>
  <w:style w:type="paragraph" w:styleId="Footer">
    <w:name w:val="footer"/>
    <w:basedOn w:val="Normal"/>
    <w:link w:val="FooterChar"/>
    <w:uiPriority w:val="99"/>
    <w:unhideWhenUsed/>
    <w:rsid w:val="00A30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08"/>
  </w:style>
  <w:style w:type="paragraph" w:styleId="ListParagraph">
    <w:name w:val="List Paragraph"/>
    <w:basedOn w:val="Normal"/>
    <w:uiPriority w:val="34"/>
    <w:qFormat/>
    <w:rsid w:val="0017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5415">
      <w:bodyDiv w:val="1"/>
      <w:marLeft w:val="0"/>
      <w:marRight w:val="0"/>
      <w:marTop w:val="0"/>
      <w:marBottom w:val="0"/>
      <w:divBdr>
        <w:top w:val="none" w:sz="0" w:space="0" w:color="auto"/>
        <w:left w:val="none" w:sz="0" w:space="0" w:color="auto"/>
        <w:bottom w:val="none" w:sz="0" w:space="0" w:color="auto"/>
        <w:right w:val="none" w:sz="0" w:space="0" w:color="auto"/>
      </w:divBdr>
      <w:divsChild>
        <w:div w:id="1200774571">
          <w:marLeft w:val="1080"/>
          <w:marRight w:val="0"/>
          <w:marTop w:val="100"/>
          <w:marBottom w:val="0"/>
          <w:divBdr>
            <w:top w:val="none" w:sz="0" w:space="0" w:color="auto"/>
            <w:left w:val="none" w:sz="0" w:space="0" w:color="auto"/>
            <w:bottom w:val="none" w:sz="0" w:space="0" w:color="auto"/>
            <w:right w:val="none" w:sz="0" w:space="0" w:color="auto"/>
          </w:divBdr>
        </w:div>
        <w:div w:id="570651357">
          <w:marLeft w:val="1080"/>
          <w:marRight w:val="0"/>
          <w:marTop w:val="100"/>
          <w:marBottom w:val="0"/>
          <w:divBdr>
            <w:top w:val="none" w:sz="0" w:space="0" w:color="auto"/>
            <w:left w:val="none" w:sz="0" w:space="0" w:color="auto"/>
            <w:bottom w:val="none" w:sz="0" w:space="0" w:color="auto"/>
            <w:right w:val="none" w:sz="0" w:space="0" w:color="auto"/>
          </w:divBdr>
        </w:div>
        <w:div w:id="378240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226459A7523E4EA86FC7AEB199F623" ma:contentTypeVersion="" ma:contentTypeDescription="Create a new document." ma:contentTypeScope="" ma:versionID="94e1a77ad5e6544764f39c302d7bc364">
  <xsd:schema xmlns:xsd="http://www.w3.org/2001/XMLSchema" xmlns:xs="http://www.w3.org/2001/XMLSchema" xmlns:p="http://schemas.microsoft.com/office/2006/metadata/properties" xmlns:ns2="be0f8e27-adc0-4c93-8dcc-33f3f30dd891" targetNamespace="http://schemas.microsoft.com/office/2006/metadata/properties" ma:root="true" ma:fieldsID="06eabf50ded34471c82e97478ccf8da6" ns2:_="">
    <xsd:import namespace="be0f8e27-adc0-4c93-8dcc-33f3f30dd89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f8e27-adc0-4c93-8dcc-33f3f30dd8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E9D3A-4C83-4E60-9CC6-A8B862560037}">
  <ds:schemaRefs>
    <ds:schemaRef ds:uri="be0f8e27-adc0-4c93-8dcc-33f3f30dd891"/>
    <ds:schemaRef ds:uri="http://schemas.microsoft.com/office/2006/metadata/propertie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CA82074-2E25-448F-8722-AD78AE23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f8e27-adc0-4c93-8dcc-33f3f30dd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02ACF-4BAF-4E85-A915-EBF831491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McKibben</dc:creator>
  <cp:keywords/>
  <dc:description/>
  <cp:lastModifiedBy>Lisa Silva</cp:lastModifiedBy>
  <cp:revision>2</cp:revision>
  <cp:lastPrinted>2016-03-14T20:47:00Z</cp:lastPrinted>
  <dcterms:created xsi:type="dcterms:W3CDTF">2016-03-15T16:08:00Z</dcterms:created>
  <dcterms:modified xsi:type="dcterms:W3CDTF">2016-03-15T16:08:00Z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0x010100CC226459A7523E4EA86FC7AEB199F623</vt:lpwstr>
  </property>
</Properties>
</file>